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178" w:rsidRPr="005D3FF2" w:rsidRDefault="00951633" w:rsidP="007C0C2F">
      <w:pPr>
        <w:spacing w:line="530" w:lineRule="exact"/>
        <w:rPr>
          <w:rFonts w:asciiTheme="majorEastAsia" w:eastAsiaTheme="majorEastAsia" w:hAnsiTheme="majorEastAsia"/>
          <w:b/>
          <w:sz w:val="32"/>
          <w:szCs w:val="32"/>
        </w:rPr>
      </w:pPr>
      <w:bookmarkStart w:id="0" w:name="_GoBack"/>
      <w:bookmarkEnd w:id="0"/>
      <w:r w:rsidRPr="005D3FF2">
        <w:rPr>
          <w:rFonts w:asciiTheme="majorEastAsia" w:eastAsiaTheme="majorEastAsia" w:hAnsiTheme="majorEastAsia" w:hint="eastAsia"/>
          <w:b/>
          <w:sz w:val="32"/>
          <w:szCs w:val="32"/>
        </w:rPr>
        <w:t>3-2 科学研究</w:t>
      </w:r>
      <w:r w:rsidR="001B7178" w:rsidRPr="005D3FF2">
        <w:rPr>
          <w:rFonts w:asciiTheme="majorEastAsia" w:eastAsiaTheme="majorEastAsia" w:hAnsiTheme="majorEastAsia"/>
          <w:b/>
          <w:sz w:val="32"/>
          <w:szCs w:val="32"/>
        </w:rPr>
        <w:t>—</w:t>
      </w:r>
      <w:r w:rsidR="005D3FF2" w:rsidRPr="005D3FF2" w:rsidDel="005D3FF2">
        <w:rPr>
          <w:rFonts w:asciiTheme="majorEastAsia" w:eastAsiaTheme="majorEastAsia" w:hAnsiTheme="majorEastAsia"/>
          <w:b/>
          <w:sz w:val="32"/>
          <w:szCs w:val="32"/>
        </w:rPr>
        <w:t xml:space="preserve"> </w:t>
      </w:r>
      <w:r w:rsidR="00561AB8" w:rsidRPr="005D3FF2">
        <w:rPr>
          <w:rFonts w:asciiTheme="majorEastAsia" w:eastAsiaTheme="majorEastAsia" w:hAnsiTheme="majorEastAsia" w:hint="eastAsia"/>
          <w:b/>
          <w:sz w:val="32"/>
          <w:szCs w:val="32"/>
        </w:rPr>
        <w:t>“三大”</w:t>
      </w:r>
      <w:r w:rsidRPr="005D3FF2">
        <w:rPr>
          <w:rFonts w:asciiTheme="majorEastAsia" w:eastAsiaTheme="majorEastAsia" w:hAnsiTheme="majorEastAsia" w:hint="eastAsia"/>
          <w:b/>
          <w:sz w:val="32"/>
          <w:szCs w:val="32"/>
        </w:rPr>
        <w:t>建设项目</w:t>
      </w:r>
      <w:r w:rsidR="001B7178" w:rsidRPr="005D3FF2">
        <w:rPr>
          <w:rFonts w:asciiTheme="majorEastAsia" w:eastAsiaTheme="majorEastAsia" w:hAnsiTheme="majorEastAsia" w:hint="eastAsia"/>
          <w:b/>
          <w:sz w:val="32"/>
          <w:szCs w:val="32"/>
        </w:rPr>
        <w:t>申报指引</w:t>
      </w:r>
    </w:p>
    <w:p w:rsidR="001B7178" w:rsidRPr="005D3FF2" w:rsidRDefault="001B7178" w:rsidP="007C0C2F">
      <w:pPr>
        <w:spacing w:line="53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1B7178" w:rsidRPr="005D3FF2" w:rsidRDefault="00FC2DB5" w:rsidP="007C0C2F">
      <w:pPr>
        <w:pStyle w:val="a5"/>
        <w:numPr>
          <w:ilvl w:val="0"/>
          <w:numId w:val="1"/>
        </w:numPr>
        <w:spacing w:line="530" w:lineRule="exact"/>
        <w:ind w:left="0" w:firstLine="602"/>
        <w:rPr>
          <w:rFonts w:ascii="仿宋" w:eastAsia="仿宋" w:hAnsi="仿宋"/>
          <w:b/>
          <w:sz w:val="30"/>
          <w:szCs w:val="30"/>
        </w:rPr>
      </w:pPr>
      <w:r w:rsidRPr="005D3FF2">
        <w:rPr>
          <w:rFonts w:ascii="仿宋" w:eastAsia="仿宋" w:hAnsi="仿宋" w:hint="eastAsia"/>
          <w:b/>
          <w:sz w:val="30"/>
          <w:szCs w:val="30"/>
        </w:rPr>
        <w:t>经费资助方向</w:t>
      </w:r>
    </w:p>
    <w:p w:rsidR="001B7178" w:rsidRPr="005D3FF2" w:rsidRDefault="001B7178" w:rsidP="007C0C2F">
      <w:pPr>
        <w:spacing w:line="530" w:lineRule="exact"/>
        <w:ind w:firstLineChars="200" w:firstLine="600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D3FF2">
        <w:rPr>
          <w:rFonts w:ascii="仿宋" w:eastAsia="仿宋" w:hAnsi="仿宋" w:hint="eastAsia"/>
          <w:sz w:val="30"/>
          <w:szCs w:val="30"/>
        </w:rPr>
        <w:t>该类</w:t>
      </w:r>
      <w:r w:rsidRPr="005D3FF2">
        <w:rPr>
          <w:rFonts w:ascii="仿宋" w:eastAsia="仿宋" w:hAnsi="仿宋"/>
          <w:sz w:val="30"/>
          <w:szCs w:val="30"/>
        </w:rPr>
        <w:t>经费</w:t>
      </w:r>
      <w:r w:rsidRPr="005D3FF2">
        <w:rPr>
          <w:rFonts w:ascii="仿宋" w:eastAsia="仿宋" w:hAnsi="仿宋" w:hint="eastAsia"/>
          <w:sz w:val="30"/>
          <w:szCs w:val="30"/>
        </w:rPr>
        <w:t>用于</w:t>
      </w:r>
      <w:r w:rsidRPr="005D3FF2">
        <w:rPr>
          <w:rFonts w:ascii="仿宋" w:eastAsia="仿宋" w:hAnsi="仿宋"/>
          <w:sz w:val="30"/>
          <w:szCs w:val="30"/>
        </w:rPr>
        <w:t>资助</w:t>
      </w:r>
      <w:r w:rsidR="00404275" w:rsidRPr="005D3FF2">
        <w:rPr>
          <w:rFonts w:ascii="仿宋" w:eastAsia="仿宋" w:hAnsi="仿宋" w:hint="eastAsia"/>
          <w:sz w:val="30"/>
          <w:szCs w:val="30"/>
        </w:rPr>
        <w:t>已获</w:t>
      </w:r>
      <w:r w:rsidR="00561AB8" w:rsidRPr="005D3FF2">
        <w:rPr>
          <w:rFonts w:ascii="仿宋" w:eastAsia="仿宋" w:hAnsi="仿宋" w:hint="eastAsia"/>
          <w:sz w:val="30"/>
          <w:szCs w:val="30"/>
        </w:rPr>
        <w:t>学校</w:t>
      </w:r>
      <w:r w:rsidR="00404275" w:rsidRPr="005D3FF2">
        <w:rPr>
          <w:rFonts w:ascii="仿宋" w:eastAsia="仿宋" w:hAnsi="仿宋" w:hint="eastAsia"/>
          <w:sz w:val="30"/>
          <w:szCs w:val="30"/>
        </w:rPr>
        <w:t>批准的</w:t>
      </w:r>
      <w:r w:rsidR="00561AB8" w:rsidRPr="005D3FF2">
        <w:rPr>
          <w:rFonts w:ascii="仿宋" w:eastAsia="仿宋" w:hAnsi="仿宋" w:cs="monospace" w:hint="eastAsia"/>
          <w:color w:val="000000"/>
          <w:sz w:val="30"/>
          <w:szCs w:val="30"/>
          <w:shd w:val="clear" w:color="auto" w:fill="FFFFFF"/>
        </w:rPr>
        <w:t>“三大”建设</w:t>
      </w:r>
      <w:r w:rsidR="00BA4D09" w:rsidRPr="005D3FF2">
        <w:rPr>
          <w:rFonts w:ascii="仿宋" w:eastAsia="仿宋" w:hAnsi="仿宋" w:cs="monospace" w:hint="eastAsia"/>
          <w:color w:val="000000"/>
          <w:sz w:val="30"/>
          <w:szCs w:val="30"/>
          <w:shd w:val="clear" w:color="auto" w:fill="FFFFFF"/>
        </w:rPr>
        <w:t>，包括大科研平台建设和大科研团队资助</w:t>
      </w:r>
      <w:r w:rsidR="00561AB8" w:rsidRPr="005D3FF2">
        <w:rPr>
          <w:rFonts w:ascii="仿宋" w:eastAsia="仿宋" w:hAnsi="仿宋" w:cs="monospace" w:hint="eastAsia"/>
          <w:color w:val="000000"/>
          <w:sz w:val="30"/>
          <w:szCs w:val="30"/>
          <w:shd w:val="clear" w:color="auto" w:fill="FFFFFF"/>
        </w:rPr>
        <w:t>。未纳入三大建设的科研项目一般不予支持，建议从校外争取，或从基本科研业务费申请。</w:t>
      </w:r>
    </w:p>
    <w:p w:rsidR="001B7178" w:rsidRPr="005D3FF2" w:rsidRDefault="001B7178" w:rsidP="007C0C2F">
      <w:pPr>
        <w:pStyle w:val="a5"/>
        <w:numPr>
          <w:ilvl w:val="0"/>
          <w:numId w:val="1"/>
        </w:numPr>
        <w:spacing w:line="530" w:lineRule="exact"/>
        <w:ind w:left="0" w:firstLine="602"/>
        <w:rPr>
          <w:rFonts w:ascii="仿宋" w:eastAsia="仿宋" w:hAnsi="仿宋"/>
          <w:b/>
          <w:sz w:val="30"/>
          <w:szCs w:val="30"/>
        </w:rPr>
      </w:pPr>
      <w:r w:rsidRPr="005D3FF2">
        <w:rPr>
          <w:rFonts w:ascii="仿宋" w:eastAsia="仿宋" w:hAnsi="仿宋" w:hint="eastAsia"/>
          <w:b/>
          <w:sz w:val="30"/>
          <w:szCs w:val="30"/>
        </w:rPr>
        <w:t>经费资助标准</w:t>
      </w:r>
      <w:r w:rsidRPr="005D3FF2">
        <w:rPr>
          <w:rFonts w:ascii="仿宋" w:eastAsia="仿宋" w:hAnsi="仿宋"/>
          <w:b/>
          <w:sz w:val="30"/>
          <w:szCs w:val="30"/>
        </w:rPr>
        <w:t>及开支范围</w:t>
      </w:r>
    </w:p>
    <w:p w:rsidR="00561AB8" w:rsidRPr="005D3FF2" w:rsidRDefault="001B7178" w:rsidP="007C0C2F">
      <w:pPr>
        <w:pStyle w:val="a9"/>
        <w:adjustRightInd w:val="0"/>
        <w:snapToGrid w:val="0"/>
        <w:spacing w:after="0" w:line="530" w:lineRule="exact"/>
        <w:ind w:firstLineChars="200" w:firstLine="602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（一）</w:t>
      </w:r>
      <w:r w:rsidR="00561AB8" w:rsidRPr="005D3FF2">
        <w:rPr>
          <w:rFonts w:ascii="仿宋" w:eastAsia="仿宋" w:hAnsi="仿宋" w:cs="Calibri" w:hint="eastAsia"/>
          <w:kern w:val="0"/>
          <w:sz w:val="30"/>
          <w:szCs w:val="30"/>
        </w:rPr>
        <w:t>大科研平台：“三大”建设专项资金对大科研平台的支持包括建设经费和运行经费。</w:t>
      </w:r>
    </w:p>
    <w:p w:rsidR="00561AB8" w:rsidRPr="005D3FF2" w:rsidRDefault="00561AB8" w:rsidP="007C0C2F">
      <w:pPr>
        <w:pStyle w:val="a9"/>
        <w:adjustRightInd w:val="0"/>
        <w:snapToGrid w:val="0"/>
        <w:spacing w:after="0" w:line="530" w:lineRule="exact"/>
        <w:ind w:firstLineChars="200" w:firstLine="600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建设经费主要用于实验室仪器设备购置及更新改造、数据库与资料库建设等基础条件建设开支。</w:t>
      </w:r>
    </w:p>
    <w:p w:rsidR="00561AB8" w:rsidRPr="005D3FF2" w:rsidRDefault="00561AB8" w:rsidP="007C0C2F">
      <w:pPr>
        <w:widowControl/>
        <w:topLinePunct/>
        <w:snapToGrid w:val="0"/>
        <w:spacing w:line="530" w:lineRule="exact"/>
        <w:ind w:firstLineChars="200" w:firstLine="600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运行经费主要用于支持平台建设与运行所需的</w:t>
      </w:r>
      <w:r w:rsidRPr="005D3FF2">
        <w:rPr>
          <w:rFonts w:ascii="仿宋" w:eastAsia="仿宋" w:hAnsi="仿宋" w:cs="宋体"/>
          <w:snapToGrid w:val="0"/>
          <w:color w:val="000000"/>
          <w:kern w:val="0"/>
          <w:sz w:val="30"/>
          <w:szCs w:val="30"/>
        </w:rPr>
        <w:t>办公费、印刷费、水电费、专用材料费、图书资料费、差旅费、论文版面费、会议费、图书出版费、专家咨询费、专利申请及其他知识产权事务费、邮电费（仅限于办公室固定电话费、邮寄费、网络通讯费和学校校务系统短信平台的相关费用）、交通费、青年教师和实验室技术人员的专业培训费、设备和场地租赁费等专项业务支出及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经学校批准同意聘用的平台专职行政人员及实验技术人员聘用费用</w:t>
      </w:r>
      <w:r w:rsidR="00410374" w:rsidRPr="005D3FF2">
        <w:rPr>
          <w:rFonts w:ascii="仿宋" w:eastAsia="仿宋" w:hAnsi="仿宋" w:cs="Calibri" w:hint="eastAsia"/>
          <w:kern w:val="0"/>
          <w:sz w:val="30"/>
          <w:szCs w:val="30"/>
        </w:rPr>
        <w:t>、学术交流费用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等。</w:t>
      </w:r>
    </w:p>
    <w:p w:rsidR="00561AB8" w:rsidRPr="005D3FF2" w:rsidRDefault="00561AB8" w:rsidP="007C0C2F">
      <w:pPr>
        <w:pStyle w:val="a9"/>
        <w:adjustRightInd w:val="0"/>
        <w:snapToGrid w:val="0"/>
        <w:spacing w:after="0" w:line="530" w:lineRule="exact"/>
        <w:ind w:firstLineChars="200" w:firstLine="600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其中，附属医院的大科研平台培育建设经费由学校、附属医院按1:1配套的方式进行支持。</w:t>
      </w:r>
    </w:p>
    <w:p w:rsidR="00561AB8" w:rsidRPr="005D3FF2" w:rsidRDefault="00BE33F4" w:rsidP="007C0C2F">
      <w:pPr>
        <w:pStyle w:val="a9"/>
        <w:adjustRightInd w:val="0"/>
        <w:snapToGrid w:val="0"/>
        <w:spacing w:after="0" w:line="530" w:lineRule="exact"/>
        <w:ind w:firstLineChars="200" w:firstLine="600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（二）</w:t>
      </w:r>
      <w:r w:rsidR="00561AB8" w:rsidRPr="005D3FF2">
        <w:rPr>
          <w:rFonts w:ascii="仿宋" w:eastAsia="仿宋" w:hAnsi="仿宋" w:cs="Calibri" w:hint="eastAsia"/>
          <w:kern w:val="0"/>
          <w:sz w:val="30"/>
          <w:szCs w:val="30"/>
        </w:rPr>
        <w:t>大科研团队：根据大科研团队的建设方案，以培育大科研项目为目标，学校对科研团队给予项目经费支持。项目培育经费主要用于与项目研究有关的支出，包括</w:t>
      </w:r>
      <w:r w:rsidR="00720503" w:rsidRPr="005D3FF2">
        <w:rPr>
          <w:rFonts w:ascii="仿宋" w:eastAsia="仿宋" w:hAnsi="仿宋" w:cs="Calibri" w:hint="eastAsia"/>
          <w:kern w:val="0"/>
          <w:sz w:val="30"/>
          <w:szCs w:val="30"/>
        </w:rPr>
        <w:t>小型</w:t>
      </w:r>
      <w:r w:rsidR="00561AB8" w:rsidRPr="005D3FF2">
        <w:rPr>
          <w:rFonts w:ascii="仿宋" w:eastAsia="仿宋" w:hAnsi="仿宋" w:cs="Calibri" w:hint="eastAsia"/>
          <w:kern w:val="0"/>
          <w:sz w:val="30"/>
          <w:szCs w:val="30"/>
        </w:rPr>
        <w:t>设备费、材料费、数据和资料费、测试化验加工费、差旅费、出版/文献/信息传播/知识产权事务费、劳务费、专家咨询费和</w:t>
      </w:r>
      <w:r w:rsidR="00410374" w:rsidRPr="005D3FF2">
        <w:rPr>
          <w:rFonts w:ascii="仿宋" w:eastAsia="仿宋" w:hAnsi="仿宋" w:cs="Calibri" w:hint="eastAsia"/>
          <w:kern w:val="0"/>
          <w:sz w:val="30"/>
          <w:szCs w:val="30"/>
        </w:rPr>
        <w:t>符合学校专项经费支</w:t>
      </w:r>
      <w:r w:rsidR="00410374" w:rsidRPr="005D3FF2">
        <w:rPr>
          <w:rFonts w:ascii="仿宋" w:eastAsia="仿宋" w:hAnsi="仿宋" w:cs="Calibri" w:hint="eastAsia"/>
          <w:kern w:val="0"/>
          <w:sz w:val="30"/>
          <w:szCs w:val="30"/>
        </w:rPr>
        <w:lastRenderedPageBreak/>
        <w:t>出规定的</w:t>
      </w:r>
      <w:r w:rsidR="00561AB8" w:rsidRPr="005D3FF2">
        <w:rPr>
          <w:rFonts w:ascii="仿宋" w:eastAsia="仿宋" w:hAnsi="仿宋" w:cs="Calibri" w:hint="eastAsia"/>
          <w:kern w:val="0"/>
          <w:sz w:val="30"/>
          <w:szCs w:val="30"/>
        </w:rPr>
        <w:t>其他</w:t>
      </w:r>
      <w:r w:rsidR="00410374" w:rsidRPr="005D3FF2">
        <w:rPr>
          <w:rFonts w:ascii="仿宋" w:eastAsia="仿宋" w:hAnsi="仿宋" w:cs="Calibri" w:hint="eastAsia"/>
          <w:kern w:val="0"/>
          <w:sz w:val="30"/>
          <w:szCs w:val="30"/>
        </w:rPr>
        <w:t>（需列出支出内容及预算额度）</w:t>
      </w:r>
      <w:r w:rsidR="00561AB8" w:rsidRPr="005D3FF2">
        <w:rPr>
          <w:rFonts w:ascii="仿宋" w:eastAsia="仿宋" w:hAnsi="仿宋" w:cs="Calibri" w:hint="eastAsia"/>
          <w:kern w:val="0"/>
          <w:sz w:val="30"/>
          <w:szCs w:val="30"/>
        </w:rPr>
        <w:t>支出。</w:t>
      </w:r>
    </w:p>
    <w:p w:rsidR="001B7178" w:rsidRPr="005D3FF2" w:rsidRDefault="00561AB8" w:rsidP="007C0C2F">
      <w:pPr>
        <w:pStyle w:val="a9"/>
        <w:adjustRightInd w:val="0"/>
        <w:snapToGrid w:val="0"/>
        <w:spacing w:after="0" w:line="530" w:lineRule="exact"/>
        <w:ind w:firstLineChars="200" w:firstLine="600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“三大”建设经费不得用于各种罚款、还贷、捐赠、赞助、对外投资等支出；不得缴交研究生培养费（含研究生学杂费和新机制改革助研津贴）、本科生学费、职工业余教育培训费等；不得作为其他项目的配套资金；不得用于按照国家规定不得列支的其他支出。</w:t>
      </w:r>
    </w:p>
    <w:p w:rsidR="001B7178" w:rsidRPr="005D3FF2" w:rsidRDefault="001B7178" w:rsidP="007C0C2F">
      <w:pPr>
        <w:pStyle w:val="a5"/>
        <w:numPr>
          <w:ilvl w:val="0"/>
          <w:numId w:val="1"/>
        </w:numPr>
        <w:spacing w:line="530" w:lineRule="exact"/>
        <w:ind w:left="0" w:firstLine="602"/>
        <w:rPr>
          <w:rFonts w:ascii="仿宋" w:eastAsia="仿宋" w:hAnsi="仿宋"/>
          <w:b/>
          <w:sz w:val="30"/>
          <w:szCs w:val="30"/>
        </w:rPr>
      </w:pPr>
      <w:r w:rsidRPr="005D3FF2">
        <w:rPr>
          <w:rFonts w:ascii="仿宋" w:eastAsia="仿宋" w:hAnsi="仿宋" w:hint="eastAsia"/>
          <w:b/>
          <w:sz w:val="30"/>
          <w:szCs w:val="30"/>
        </w:rPr>
        <w:t>项目评审的原则及标准</w:t>
      </w:r>
    </w:p>
    <w:p w:rsidR="00561AB8" w:rsidRPr="005D3FF2" w:rsidRDefault="00561AB8" w:rsidP="007C0C2F">
      <w:pPr>
        <w:pStyle w:val="a9"/>
        <w:adjustRightInd w:val="0"/>
        <w:snapToGrid w:val="0"/>
        <w:spacing w:after="0" w:line="530" w:lineRule="exact"/>
        <w:ind w:firstLineChars="200" w:firstLine="600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Calibri"/>
          <w:kern w:val="0"/>
          <w:sz w:val="30"/>
          <w:szCs w:val="30"/>
        </w:rPr>
        <w:t>按照学校三大建设总体目标和要求，三大建设经费预算分配采取自上而下和自下而上相结合，以自上而下为主的组织方式，在充分调研的基础上，加强科学论证，加强顶层设计，加强规划引导，推进分类建设，成熟一个，启动一个，统筹布局“三大”建设，具体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分配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原则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与程序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如下：</w:t>
      </w:r>
    </w:p>
    <w:p w:rsidR="00561AB8" w:rsidRPr="005D3FF2" w:rsidRDefault="00561AB8" w:rsidP="007C0C2F">
      <w:pPr>
        <w:pStyle w:val="a9"/>
        <w:adjustRightInd w:val="0"/>
        <w:snapToGrid w:val="0"/>
        <w:spacing w:after="0" w:line="530" w:lineRule="exact"/>
        <w:ind w:firstLineChars="200" w:firstLine="600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(1)分配原则与程序依据《中山大学关于大科研平台、大科研团队、大科研项目培育建设实施方案》有关要求执行。</w:t>
      </w:r>
    </w:p>
    <w:p w:rsidR="001B7178" w:rsidRPr="005D3FF2" w:rsidRDefault="00561AB8" w:rsidP="007C0C2F">
      <w:pPr>
        <w:pStyle w:val="a9"/>
        <w:adjustRightInd w:val="0"/>
        <w:snapToGrid w:val="0"/>
        <w:spacing w:after="0" w:line="530" w:lineRule="exact"/>
        <w:ind w:firstLineChars="200" w:firstLine="600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（2）根据院系申请、专家评审和学术委员会审议结果，结合学校下达的预算总额度、平台和团队年度预算申请额度及平台拟购设备等情况，核算确定预算分配金额并报学校批准后执行。</w:t>
      </w:r>
    </w:p>
    <w:p w:rsidR="001B7178" w:rsidRPr="005D3FF2" w:rsidRDefault="001B7178" w:rsidP="007C0C2F">
      <w:pPr>
        <w:pStyle w:val="a5"/>
        <w:numPr>
          <w:ilvl w:val="0"/>
          <w:numId w:val="1"/>
        </w:numPr>
        <w:spacing w:line="530" w:lineRule="exact"/>
        <w:ind w:left="0" w:firstLine="602"/>
        <w:rPr>
          <w:rFonts w:ascii="仿宋" w:eastAsia="仿宋" w:hAnsi="仿宋" w:cs="宋体"/>
          <w:b/>
          <w:color w:val="000000"/>
          <w:kern w:val="0"/>
          <w:sz w:val="30"/>
          <w:szCs w:val="30"/>
        </w:rPr>
      </w:pPr>
      <w:r w:rsidRPr="005D3FF2">
        <w:rPr>
          <w:rFonts w:ascii="仿宋" w:eastAsia="仿宋" w:hAnsi="仿宋" w:cs="宋体"/>
          <w:b/>
          <w:color w:val="000000"/>
          <w:kern w:val="0"/>
          <w:sz w:val="30"/>
          <w:szCs w:val="30"/>
        </w:rPr>
        <w:t>绩效目标</w:t>
      </w:r>
      <w:r w:rsidRPr="005D3FF2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参考</w:t>
      </w:r>
    </w:p>
    <w:p w:rsidR="001B7178" w:rsidRPr="005D3FF2" w:rsidRDefault="00DA3A3A" w:rsidP="007C0C2F">
      <w:pPr>
        <w:pStyle w:val="a9"/>
        <w:adjustRightInd w:val="0"/>
        <w:snapToGrid w:val="0"/>
        <w:spacing w:after="0" w:line="530" w:lineRule="exact"/>
        <w:ind w:firstLineChars="200" w:firstLine="600"/>
        <w:jc w:val="left"/>
        <w:rPr>
          <w:rFonts w:ascii="仿宋" w:eastAsia="仿宋" w:hAnsi="仿宋" w:cs="Calibri"/>
          <w:kern w:val="0"/>
          <w:sz w:val="30"/>
          <w:szCs w:val="30"/>
        </w:rPr>
      </w:pP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“三大”建设：包括总体绩效考核指标和年度绩效考核指标，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特别是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年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度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绩效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考核指标。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绩效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指标应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包括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：硬件建设考核指标、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新增高层次人才指标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、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获得人才类重大项目指标、获得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国家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级及省部级重大重点项目指标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、获得国家级及省部级重要奖励指标、发表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高水平论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文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指标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、发明专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利指标、成果转化指标</w:t>
      </w:r>
      <w:r w:rsidRPr="005D3FF2">
        <w:rPr>
          <w:rFonts w:ascii="仿宋" w:eastAsia="仿宋" w:hAnsi="仿宋" w:cs="Calibri"/>
          <w:kern w:val="0"/>
          <w:sz w:val="30"/>
          <w:szCs w:val="30"/>
        </w:rPr>
        <w:t>等</w:t>
      </w:r>
      <w:r w:rsidRPr="005D3FF2">
        <w:rPr>
          <w:rFonts w:ascii="仿宋" w:eastAsia="仿宋" w:hAnsi="仿宋" w:cs="Calibri" w:hint="eastAsia"/>
          <w:kern w:val="0"/>
          <w:sz w:val="30"/>
          <w:szCs w:val="30"/>
        </w:rPr>
        <w:t>。</w:t>
      </w:r>
    </w:p>
    <w:p w:rsidR="001B7178" w:rsidRPr="005D3FF2" w:rsidRDefault="001B7178" w:rsidP="007C0C2F">
      <w:pPr>
        <w:pStyle w:val="a5"/>
        <w:numPr>
          <w:ilvl w:val="0"/>
          <w:numId w:val="1"/>
        </w:numPr>
        <w:spacing w:line="530" w:lineRule="exact"/>
        <w:ind w:left="0" w:firstLine="602"/>
        <w:rPr>
          <w:rFonts w:ascii="仿宋" w:eastAsia="仿宋" w:hAnsi="仿宋"/>
          <w:b/>
          <w:sz w:val="30"/>
          <w:szCs w:val="30"/>
        </w:rPr>
      </w:pPr>
      <w:r w:rsidRPr="005D3FF2">
        <w:rPr>
          <w:rFonts w:ascii="仿宋" w:eastAsia="仿宋" w:hAnsi="仿宋" w:cs="宋体" w:hint="eastAsia"/>
          <w:b/>
          <w:color w:val="000000"/>
          <w:kern w:val="0"/>
          <w:sz w:val="30"/>
          <w:szCs w:val="30"/>
        </w:rPr>
        <w:t>特殊</w:t>
      </w:r>
      <w:r w:rsidRPr="005D3FF2">
        <w:rPr>
          <w:rFonts w:ascii="仿宋" w:eastAsia="仿宋" w:hAnsi="仿宋" w:cs="宋体"/>
          <w:b/>
          <w:color w:val="000000"/>
          <w:kern w:val="0"/>
          <w:sz w:val="30"/>
          <w:szCs w:val="30"/>
        </w:rPr>
        <w:t>申报板块</w:t>
      </w:r>
    </w:p>
    <w:p w:rsidR="00EB1861" w:rsidRPr="005D3FF2" w:rsidRDefault="005D3FF2" w:rsidP="007C0C2F">
      <w:pPr>
        <w:pStyle w:val="a5"/>
        <w:spacing w:line="530" w:lineRule="exact"/>
        <w:ind w:firstLine="602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无</w:t>
      </w:r>
      <w:r w:rsidR="002E31DC">
        <w:rPr>
          <w:rFonts w:ascii="仿宋" w:eastAsia="仿宋" w:hAnsi="仿宋" w:hint="eastAsia"/>
          <w:b/>
          <w:sz w:val="30"/>
          <w:szCs w:val="30"/>
        </w:rPr>
        <w:t>。</w:t>
      </w:r>
    </w:p>
    <w:sectPr w:rsidR="00EB1861" w:rsidRPr="005D3FF2" w:rsidSect="002A6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A74" w:rsidRDefault="00CE5A74" w:rsidP="001B7178">
      <w:r>
        <w:separator/>
      </w:r>
    </w:p>
  </w:endnote>
  <w:endnote w:type="continuationSeparator" w:id="0">
    <w:p w:rsidR="00CE5A74" w:rsidRDefault="00CE5A74" w:rsidP="001B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onospace">
    <w:altName w:val="Courier New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A74" w:rsidRDefault="00CE5A74" w:rsidP="001B7178">
      <w:r>
        <w:separator/>
      </w:r>
    </w:p>
  </w:footnote>
  <w:footnote w:type="continuationSeparator" w:id="0">
    <w:p w:rsidR="00CE5A74" w:rsidRDefault="00CE5A74" w:rsidP="001B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70A8D"/>
    <w:multiLevelType w:val="hybridMultilevel"/>
    <w:tmpl w:val="58A407FA"/>
    <w:lvl w:ilvl="0" w:tplc="4956D692">
      <w:start w:val="1"/>
      <w:numFmt w:val="japaneseCounting"/>
      <w:lvlText w:val="（%1）"/>
      <w:lvlJc w:val="left"/>
      <w:pPr>
        <w:ind w:left="1140" w:hanging="720"/>
      </w:pPr>
      <w:rPr>
        <w:rFonts w:asciiTheme="minorEastAsia" w:eastAsiaTheme="minorEastAsia" w:hAnsiTheme="minorEastAsia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3AE58C1"/>
    <w:multiLevelType w:val="hybridMultilevel"/>
    <w:tmpl w:val="98F20B68"/>
    <w:lvl w:ilvl="0" w:tplc="43EACE2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E4A"/>
    <w:rsid w:val="000D1A1A"/>
    <w:rsid w:val="00182C6F"/>
    <w:rsid w:val="001A3F6B"/>
    <w:rsid w:val="001B7178"/>
    <w:rsid w:val="00247373"/>
    <w:rsid w:val="002A6AA9"/>
    <w:rsid w:val="002E31DC"/>
    <w:rsid w:val="0034094C"/>
    <w:rsid w:val="00404275"/>
    <w:rsid w:val="00410374"/>
    <w:rsid w:val="004363B4"/>
    <w:rsid w:val="004751F9"/>
    <w:rsid w:val="00561AB8"/>
    <w:rsid w:val="005B03E1"/>
    <w:rsid w:val="005D3FF2"/>
    <w:rsid w:val="00625336"/>
    <w:rsid w:val="006863A0"/>
    <w:rsid w:val="006C2406"/>
    <w:rsid w:val="00720503"/>
    <w:rsid w:val="007C0C2F"/>
    <w:rsid w:val="007D1BB6"/>
    <w:rsid w:val="00813B54"/>
    <w:rsid w:val="00876EC8"/>
    <w:rsid w:val="008D6CEF"/>
    <w:rsid w:val="00926521"/>
    <w:rsid w:val="00951633"/>
    <w:rsid w:val="00A9101E"/>
    <w:rsid w:val="00B0304D"/>
    <w:rsid w:val="00B05BD8"/>
    <w:rsid w:val="00B61110"/>
    <w:rsid w:val="00BA1AB3"/>
    <w:rsid w:val="00BA4D09"/>
    <w:rsid w:val="00BE33F4"/>
    <w:rsid w:val="00C54E4A"/>
    <w:rsid w:val="00C85B21"/>
    <w:rsid w:val="00CE5A74"/>
    <w:rsid w:val="00DA3A3A"/>
    <w:rsid w:val="00DC0948"/>
    <w:rsid w:val="00E77EA6"/>
    <w:rsid w:val="00EB1861"/>
    <w:rsid w:val="00EC0CD2"/>
    <w:rsid w:val="00F15D92"/>
    <w:rsid w:val="00F84748"/>
    <w:rsid w:val="00FC2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06D55D-271A-449F-8E0C-5E416217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1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7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B7178"/>
    <w:rPr>
      <w:kern w:val="2"/>
      <w:sz w:val="18"/>
      <w:szCs w:val="18"/>
    </w:rPr>
  </w:style>
  <w:style w:type="paragraph" w:styleId="a4">
    <w:name w:val="footer"/>
    <w:basedOn w:val="a"/>
    <w:link w:val="Char0"/>
    <w:rsid w:val="001B7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7178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1B7178"/>
    <w:pPr>
      <w:ind w:firstLineChars="200" w:firstLine="420"/>
    </w:pPr>
  </w:style>
  <w:style w:type="character" w:styleId="a6">
    <w:name w:val="annotation reference"/>
    <w:basedOn w:val="a0"/>
    <w:uiPriority w:val="99"/>
    <w:rsid w:val="001B7178"/>
    <w:rPr>
      <w:sz w:val="21"/>
      <w:szCs w:val="21"/>
    </w:rPr>
  </w:style>
  <w:style w:type="paragraph" w:styleId="a7">
    <w:name w:val="annotation text"/>
    <w:basedOn w:val="a"/>
    <w:link w:val="Char1"/>
    <w:uiPriority w:val="99"/>
    <w:rsid w:val="001B7178"/>
    <w:pPr>
      <w:jc w:val="left"/>
    </w:pPr>
  </w:style>
  <w:style w:type="character" w:customStyle="1" w:styleId="Char1">
    <w:name w:val="批注文字 Char"/>
    <w:basedOn w:val="a0"/>
    <w:link w:val="a7"/>
    <w:uiPriority w:val="99"/>
    <w:rsid w:val="001B7178"/>
    <w:rPr>
      <w:kern w:val="2"/>
      <w:sz w:val="21"/>
      <w:szCs w:val="24"/>
    </w:rPr>
  </w:style>
  <w:style w:type="paragraph" w:styleId="a8">
    <w:name w:val="Balloon Text"/>
    <w:basedOn w:val="a"/>
    <w:link w:val="Char2"/>
    <w:rsid w:val="001B7178"/>
    <w:rPr>
      <w:sz w:val="18"/>
      <w:szCs w:val="18"/>
    </w:rPr>
  </w:style>
  <w:style w:type="character" w:customStyle="1" w:styleId="Char2">
    <w:name w:val="批注框文本 Char"/>
    <w:basedOn w:val="a0"/>
    <w:link w:val="a8"/>
    <w:rsid w:val="001B7178"/>
    <w:rPr>
      <w:kern w:val="2"/>
      <w:sz w:val="18"/>
      <w:szCs w:val="18"/>
    </w:rPr>
  </w:style>
  <w:style w:type="paragraph" w:styleId="a9">
    <w:name w:val="Body Text"/>
    <w:basedOn w:val="a"/>
    <w:link w:val="Char10"/>
    <w:uiPriority w:val="99"/>
    <w:unhideWhenUsed/>
    <w:qFormat/>
    <w:rsid w:val="00561AB8"/>
    <w:pPr>
      <w:spacing w:after="120"/>
    </w:pPr>
    <w:rPr>
      <w:rFonts w:ascii="Calibri" w:hAnsi="Calibri"/>
      <w:szCs w:val="22"/>
    </w:rPr>
  </w:style>
  <w:style w:type="character" w:customStyle="1" w:styleId="Char3">
    <w:name w:val="正文文本 Char"/>
    <w:basedOn w:val="a0"/>
    <w:rsid w:val="00561AB8"/>
    <w:rPr>
      <w:kern w:val="2"/>
      <w:sz w:val="21"/>
      <w:szCs w:val="24"/>
    </w:rPr>
  </w:style>
  <w:style w:type="character" w:customStyle="1" w:styleId="Char10">
    <w:name w:val="正文文本 Char1"/>
    <w:link w:val="a9"/>
    <w:qFormat/>
    <w:rsid w:val="00561AB8"/>
    <w:rPr>
      <w:rFonts w:ascii="Calibri" w:hAnsi="Calibri"/>
      <w:kern w:val="2"/>
      <w:sz w:val="21"/>
      <w:szCs w:val="22"/>
    </w:rPr>
  </w:style>
  <w:style w:type="paragraph" w:styleId="aa">
    <w:name w:val="annotation subject"/>
    <w:basedOn w:val="a7"/>
    <w:next w:val="a7"/>
    <w:link w:val="Char4"/>
    <w:rsid w:val="005D3FF2"/>
    <w:rPr>
      <w:b/>
      <w:bCs/>
    </w:rPr>
  </w:style>
  <w:style w:type="character" w:customStyle="1" w:styleId="Char4">
    <w:name w:val="批注主题 Char"/>
    <w:basedOn w:val="Char1"/>
    <w:link w:val="aa"/>
    <w:rsid w:val="005D3FF2"/>
    <w:rPr>
      <w:b/>
      <w:bCs/>
      <w:kern w:val="2"/>
      <w:sz w:val="21"/>
      <w:szCs w:val="24"/>
    </w:rPr>
  </w:style>
  <w:style w:type="paragraph" w:styleId="ab">
    <w:name w:val="Revision"/>
    <w:hidden/>
    <w:uiPriority w:val="99"/>
    <w:semiHidden/>
    <w:rsid w:val="00BA1AB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990</Characters>
  <Application>Microsoft Office Word</Application>
  <DocSecurity>0</DocSecurity>
  <Lines>8</Lines>
  <Paragraphs>2</Paragraphs>
  <ScaleCrop>false</ScaleCrop>
  <Company>Microsoft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shy</cp:lastModifiedBy>
  <cp:revision>2</cp:revision>
  <dcterms:created xsi:type="dcterms:W3CDTF">2016-06-14T06:49:00Z</dcterms:created>
  <dcterms:modified xsi:type="dcterms:W3CDTF">2016-06-14T06:49:00Z</dcterms:modified>
</cp:coreProperties>
</file>